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CF7302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203D9C17" w14:textId="77777777" w:rsidR="00262E75" w:rsidRDefault="00262E75" w:rsidP="00CF730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</w:pPr>
    </w:p>
    <w:p w14:paraId="420587E4" w14:textId="40158A8E" w:rsidR="00A319A7" w:rsidRDefault="00A319A7" w:rsidP="00CF730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</w:pPr>
      <w:r w:rsidRPr="00A319A7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El ‘Centro experiencial </w:t>
      </w:r>
      <w:r w:rsidR="00CF7302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del </w:t>
      </w:r>
      <w:r w:rsidRPr="00A319A7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Vino de Rioja Alavesa’</w:t>
      </w: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abrirá el primer trimestre de 2028</w:t>
      </w:r>
    </w:p>
    <w:p w14:paraId="4FD507BF" w14:textId="5573A8BB" w:rsidR="00510CE3" w:rsidRPr="00F6790B" w:rsidRDefault="00510CE3" w:rsidP="00CF7302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71E09DD" w14:textId="737497EA" w:rsidR="00510CE3" w:rsidRPr="00262E75" w:rsidRDefault="00510CE3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z w:val="48"/>
          <w:szCs w:val="48"/>
          <w:lang w:val="es-ES_tradnl" w:eastAsia="en-US"/>
        </w:rPr>
      </w:pPr>
      <w:r w:rsidRPr="00262E75">
        <w:rPr>
          <w:rFonts w:ascii="Sanuk-Medium" w:eastAsia="Calibri" w:hAnsi="Sanuk-Medium" w:cstheme="minorHAnsi"/>
          <w:color w:val="003366"/>
          <w:sz w:val="48"/>
          <w:szCs w:val="48"/>
          <w:lang w:val="es-ES_tradnl" w:eastAsia="en-US"/>
        </w:rPr>
        <w:t>Fundación Vital</w:t>
      </w:r>
      <w:r w:rsidR="00D82B7C" w:rsidRPr="00262E75">
        <w:rPr>
          <w:rFonts w:ascii="Sanuk-Medium" w:eastAsia="Calibri" w:hAnsi="Sanuk-Medium" w:cstheme="minorHAnsi"/>
          <w:color w:val="003366"/>
          <w:sz w:val="48"/>
          <w:szCs w:val="48"/>
          <w:lang w:val="es-ES_tradnl" w:eastAsia="en-US"/>
        </w:rPr>
        <w:t xml:space="preserve"> </w:t>
      </w:r>
      <w:r w:rsidR="00B610EA">
        <w:rPr>
          <w:rFonts w:ascii="Sanuk-Medium" w:eastAsia="Calibri" w:hAnsi="Sanuk-Medium" w:cstheme="minorHAnsi"/>
          <w:color w:val="003366"/>
          <w:sz w:val="48"/>
          <w:szCs w:val="48"/>
          <w:lang w:val="es-ES_tradnl" w:eastAsia="en-US"/>
        </w:rPr>
        <w:t>impulsa</w:t>
      </w:r>
      <w:r w:rsidR="003F1A14" w:rsidRPr="00262E75">
        <w:rPr>
          <w:rFonts w:ascii="Sanuk-Medium" w:eastAsia="Calibri" w:hAnsi="Sanuk-Medium" w:cstheme="minorHAnsi"/>
          <w:color w:val="003366"/>
          <w:sz w:val="48"/>
          <w:szCs w:val="48"/>
          <w:lang w:val="es-ES_tradnl" w:eastAsia="en-US"/>
        </w:rPr>
        <w:t xml:space="preserve"> </w:t>
      </w:r>
      <w:r w:rsidR="00E21DFA" w:rsidRPr="00262E75">
        <w:rPr>
          <w:rFonts w:ascii="Sanuk-Medium" w:eastAsia="Calibri" w:hAnsi="Sanuk-Medium" w:cstheme="minorHAnsi"/>
          <w:color w:val="003366"/>
          <w:sz w:val="48"/>
          <w:szCs w:val="48"/>
          <w:lang w:val="es-ES_tradnl" w:eastAsia="en-US"/>
        </w:rPr>
        <w:t>un nuevo espacio de referencia sobre la cultura del vino y el enoturismo en Rioja Alavesa</w:t>
      </w:r>
    </w:p>
    <w:p w14:paraId="717A0CCD" w14:textId="77777777" w:rsidR="00A319A7" w:rsidRPr="006638ED" w:rsidRDefault="00A319A7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6"/>
          <w:sz w:val="39"/>
          <w:szCs w:val="39"/>
          <w:lang w:val="es-ES_tradnl" w:eastAsia="en-US"/>
        </w:rPr>
      </w:pPr>
    </w:p>
    <w:p w14:paraId="046B502D" w14:textId="17DF6900" w:rsidR="00A319A7" w:rsidRDefault="00A319A7" w:rsidP="00262E75">
      <w:pPr>
        <w:tabs>
          <w:tab w:val="left" w:pos="284"/>
        </w:tabs>
        <w:spacing w:line="300" w:lineRule="exact"/>
        <w:ind w:left="284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E48AF">
        <w:rPr>
          <w:rFonts w:ascii="Sanuk-Bold" w:hAnsi="Sanuk-Bold" w:cs="Arial"/>
          <w:b/>
          <w:color w:val="0000FF"/>
          <w:sz w:val="28"/>
          <w:szCs w:val="28"/>
        </w:rPr>
        <w:t>•</w:t>
      </w:r>
      <w:r>
        <w:rPr>
          <w:rFonts w:ascii="SanukLF-Light" w:hAnsi="SanukLF-Light" w:cs="Arial"/>
          <w:b/>
          <w:color w:val="C62128"/>
          <w:sz w:val="24"/>
          <w:szCs w:val="24"/>
        </w:rPr>
        <w:t xml:space="preserve"> </w:t>
      </w:r>
      <w:r w:rsidRPr="00297BB5">
        <w:rPr>
          <w:rFonts w:ascii="Sanuk-Bold" w:hAnsi="Sanuk-Bold"/>
          <w:bCs/>
          <w:sz w:val="24"/>
          <w:szCs w:val="24"/>
        </w:rPr>
        <w:tab/>
      </w:r>
      <w:r w:rsidRPr="00A319A7">
        <w:rPr>
          <w:rFonts w:ascii="Sanuk-Bold" w:hAnsi="Sanuk-Bold"/>
          <w:bCs/>
          <w:sz w:val="24"/>
          <w:szCs w:val="24"/>
        </w:rPr>
        <w:t>Ubicado en una antigua bodega en Elciego</w:t>
      </w:r>
      <w:r>
        <w:rPr>
          <w:rFonts w:ascii="Sanuk-Bold" w:hAnsi="Sanuk-Bold"/>
          <w:bCs/>
          <w:sz w:val="24"/>
          <w:szCs w:val="24"/>
        </w:rPr>
        <w:t xml:space="preserve"> y </w:t>
      </w:r>
      <w:r w:rsidR="00B610EA">
        <w:rPr>
          <w:rFonts w:ascii="Sanuk-Bold" w:hAnsi="Sanuk-Bold"/>
          <w:bCs/>
          <w:sz w:val="24"/>
          <w:szCs w:val="24"/>
        </w:rPr>
        <w:t xml:space="preserve">con </w:t>
      </w:r>
      <w:r>
        <w:rPr>
          <w:rFonts w:ascii="Sanuk-Bold" w:hAnsi="Sanuk-Bold"/>
          <w:bCs/>
          <w:sz w:val="24"/>
          <w:szCs w:val="24"/>
        </w:rPr>
        <w:t xml:space="preserve">una inversión de 12,2 millones de euros, </w:t>
      </w:r>
      <w:r w:rsidRPr="00A319A7">
        <w:rPr>
          <w:rFonts w:ascii="Sanuk-Bold" w:hAnsi="Sanuk-Bold"/>
          <w:bCs/>
          <w:sz w:val="24"/>
          <w:szCs w:val="24"/>
        </w:rPr>
        <w:t xml:space="preserve">sus 11.000 metros cuadrados combinarán divulgación, experiencia turística y actividad </w:t>
      </w:r>
      <w:r w:rsidR="003C7884">
        <w:rPr>
          <w:rFonts w:ascii="Sanuk-Bold" w:hAnsi="Sanuk-Bold"/>
          <w:bCs/>
          <w:sz w:val="24"/>
          <w:szCs w:val="24"/>
        </w:rPr>
        <w:t>cultural</w:t>
      </w:r>
    </w:p>
    <w:p w14:paraId="32F43742" w14:textId="7F0A6CB1" w:rsidR="00A319A7" w:rsidRDefault="00A319A7" w:rsidP="00262E75">
      <w:pPr>
        <w:autoSpaceDE w:val="0"/>
        <w:autoSpaceDN w:val="0"/>
        <w:adjustRightInd w:val="0"/>
        <w:spacing w:after="0" w:line="300" w:lineRule="exact"/>
        <w:ind w:left="284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E48AF">
        <w:rPr>
          <w:rFonts w:ascii="Sanuk-Bold" w:hAnsi="Sanuk-Bold" w:cs="Arial"/>
          <w:b/>
          <w:color w:val="0000FF"/>
          <w:sz w:val="28"/>
          <w:szCs w:val="28"/>
        </w:rPr>
        <w:t>•</w:t>
      </w:r>
      <w:r>
        <w:rPr>
          <w:rFonts w:ascii="SanukLF-Light" w:hAnsi="SanukLF-Light" w:cs="Arial"/>
          <w:b/>
          <w:color w:val="C62128"/>
          <w:sz w:val="24"/>
          <w:szCs w:val="24"/>
        </w:rPr>
        <w:t xml:space="preserve"> </w:t>
      </w:r>
      <w:r w:rsidRPr="00A319A7">
        <w:rPr>
          <w:rFonts w:ascii="Sanuk-Bold" w:hAnsi="Sanuk-Bold"/>
          <w:bCs/>
          <w:sz w:val="24"/>
          <w:szCs w:val="24"/>
        </w:rPr>
        <w:t>Su objetivo es divertir, entretener e instruir a través de experiencias inmersivas que permitan comprender la dimensión cultural, histórica y científica del vino</w:t>
      </w:r>
      <w:r>
        <w:rPr>
          <w:rFonts w:ascii="Sanuk-Bold" w:hAnsi="Sanuk-Bold"/>
          <w:bCs/>
          <w:sz w:val="24"/>
          <w:szCs w:val="24"/>
        </w:rPr>
        <w:t xml:space="preserve"> y reforzar su </w:t>
      </w:r>
      <w:r w:rsidRPr="00CF7302">
        <w:rPr>
          <w:rFonts w:ascii="Sanuk-Bold" w:hAnsi="Sanuk-Bold"/>
          <w:bCs/>
          <w:sz w:val="24"/>
          <w:szCs w:val="24"/>
        </w:rPr>
        <w:t>proyección internacional</w:t>
      </w:r>
      <w:r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</w:p>
    <w:p w14:paraId="66DCEB60" w14:textId="77777777" w:rsidR="00A319A7" w:rsidRPr="00F6790B" w:rsidRDefault="00A319A7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54B47FB" w14:textId="3D4251EB" w:rsidR="00D579A5" w:rsidRDefault="00510CE3" w:rsidP="00D579A5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5B106A" w:rsidRPr="005B106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29</w:t>
      </w:r>
      <w:r w:rsidR="006638ED" w:rsidRPr="005B106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E733DD" w:rsidRPr="005B106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mayo</w:t>
      </w:r>
      <w:r w:rsidR="00FA335D" w:rsidRPr="005B106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2026</w:t>
      </w:r>
      <w:r w:rsidRPr="005B106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55018C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D579A5" w:rsidRPr="00D579A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ha hecho</w:t>
      </w:r>
      <w:r w:rsidR="00D579A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una importante apuesta por 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puesta en marcha de </w:t>
      </w:r>
      <w:r w:rsidR="00D579A5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un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ambicioso proyecto </w:t>
      </w:r>
      <w:r w:rsidR="00D579A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convertir una antigua bodega de Rioja Alavesa</w:t>
      </w:r>
      <w:r w:rsidR="000B5F57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en la localidad de Elciego,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en un espacio integral dedicado a la cultura del vino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sector estratégico de nuestro Territorio</w:t>
      </w:r>
      <w:r w:rsidR="00D579A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El </w:t>
      </w:r>
      <w:r w:rsidR="00D579A5" w:rsidRPr="00234632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‘Centro experiencial</w:t>
      </w:r>
      <w:r w:rsidR="00E360F2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del </w:t>
      </w:r>
      <w:r w:rsidR="00D579A5" w:rsidRPr="00234632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Vino de Rioja Alavesa’</w:t>
      </w:r>
      <w:r w:rsidR="00D579A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ha sido presentado esta mañana </w:t>
      </w:r>
      <w:r w:rsidR="00625E9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</w:t>
      </w:r>
      <w:r w:rsidR="00625E95" w:rsidRPr="00B610E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ARKABIA</w:t>
      </w:r>
      <w:r w:rsidR="00625E9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D579A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por el presidente de Vital Fundazioa</w:t>
      </w:r>
      <w:r w:rsidR="00D579A5" w:rsidRPr="007D3DD3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, Jon Urresti</w:t>
      </w:r>
      <w:r w:rsidR="00625E9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</w:p>
    <w:p w14:paraId="15FC733E" w14:textId="7FC18CF4" w:rsidR="00A24E3C" w:rsidRDefault="00234632" w:rsidP="00E86072">
      <w:pPr>
        <w:tabs>
          <w:tab w:val="num" w:pos="36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lamado a convertirse en un referente para la divulgación, la experiencia enoturística y la puesta en valor del patrimonio vitivinícola, gastronómico y natural del </w:t>
      </w:r>
      <w:r w:rsidRP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T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erritorio</w:t>
      </w:r>
      <w:r w:rsidRP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contará con</w:t>
      </w:r>
      <w:r w:rsidRP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una </w:t>
      </w:r>
      <w:r w:rsidRPr="00234632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i</w:t>
      </w:r>
      <w:r w:rsidR="00625E95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nversión prevista </w:t>
      </w:r>
      <w:r w:rsidRPr="00234632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de </w:t>
      </w:r>
      <w:r w:rsidR="00625E95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12,2 millones de euros</w:t>
      </w:r>
      <w:r w:rsidRP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: </w:t>
      </w:r>
      <w:r w:rsidR="00625E95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1,8 </w:t>
      </w:r>
      <w:r w:rsidRP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destinados </w:t>
      </w:r>
      <w:r w:rsidR="00625E95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 la adquisición del inmueble y 10,4 a la construcción y reforma del complejo.</w:t>
      </w:r>
      <w:r w:rsidR="0083781B" w:rsidRPr="0083781B">
        <w:t xml:space="preserve"> </w:t>
      </w:r>
      <w:r w:rsidR="0083781B"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El fin de la reforma</w:t>
      </w:r>
      <w:r w:rsidR="007D3DD3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cuyos primeros trabajos ya están en marcha,</w:t>
      </w:r>
      <w:r w:rsidR="0083781B"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está previsto para finales de 2027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la a</w:t>
      </w:r>
      <w:r w:rsidR="0083781B"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pertura al público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en el </w:t>
      </w:r>
      <w:r w:rsidR="0083781B"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primer trimestre de 2028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</w:p>
    <w:p w14:paraId="4BFF6628" w14:textId="63CB611E" w:rsidR="00A24E3C" w:rsidRDefault="00A24E3C" w:rsidP="00E86072">
      <w:pPr>
        <w:tabs>
          <w:tab w:val="num" w:pos="36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Sus puntos estratégicos son: c</w:t>
      </w:r>
      <w:r w:rsidRP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onocer Rioja Alavesa como región vitivinícola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p</w:t>
      </w:r>
      <w:r w:rsidRP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oner en valor el patrimonio enoturístico de la zona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e</w:t>
      </w:r>
      <w:r w:rsidRP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xplorar las relaciones del vino con otras expresiones culturales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f</w:t>
      </w:r>
      <w:r w:rsidRP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omentar la educación y la cultura desde el ámbito de la cultura del vino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y a</w:t>
      </w:r>
      <w:r w:rsidRP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cercarse a nuevos tipos de público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</w:p>
    <w:p w14:paraId="0FC78879" w14:textId="77777777" w:rsidR="00A24E3C" w:rsidRDefault="00A24E3C" w:rsidP="0083781B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69304783" w14:textId="24DB2937" w:rsidR="00A24E3C" w:rsidRDefault="00A24E3C" w:rsidP="00A24E3C">
      <w:pPr>
        <w:autoSpaceDE w:val="0"/>
        <w:autoSpaceDN w:val="0"/>
        <w:adjustRightInd w:val="0"/>
        <w:spacing w:line="300" w:lineRule="exact"/>
        <w:rPr>
          <w:rFonts w:ascii="SanukTF-Medium" w:hAnsi="SanukTF-Medium" w:cstheme="minorHAnsi"/>
          <w:b/>
          <w:color w:val="003366"/>
          <w:sz w:val="26"/>
          <w:szCs w:val="26"/>
        </w:rPr>
      </w:pPr>
      <w:r>
        <w:rPr>
          <w:rFonts w:ascii="SanukTF-Medium" w:hAnsi="SanukTF-Medium" w:cstheme="minorHAnsi"/>
          <w:b/>
          <w:color w:val="003366"/>
          <w:sz w:val="26"/>
          <w:szCs w:val="26"/>
        </w:rPr>
        <w:t xml:space="preserve">11.000 metros cuadrados </w:t>
      </w:r>
    </w:p>
    <w:p w14:paraId="114D91CF" w14:textId="3FFC7427" w:rsidR="003F1A14" w:rsidRDefault="00770330" w:rsidP="00234632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un complejo de </w:t>
      </w:r>
      <w:r w:rsidRPr="0077033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11.000 metros cuadrados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5.200 de ellos destinados a espacios </w:t>
      </w:r>
      <w:r w:rsidR="00DA0C5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expositivos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l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iniciativa plantea un equipamiento 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de diseño espectacular y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alto valor añadido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orientado a 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atraer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un público amplio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desde el local hasta el internacional. Su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objetivo </w:t>
      </w:r>
      <w:r w:rsidR="0023463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es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divertir, entretener e instruir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a través de experiencias inmersivas que permitan comprender la dimensión cultural, histórica y científica del vino. El proyecto aspira a consolidarse como una plataforma de conocimiento y difusión que refuerce el posicionamiento de Rioja Alavesa como una de las grandes regiones vitivinícolas de Europa.</w:t>
      </w:r>
    </w:p>
    <w:p w14:paraId="3C3A7AE6" w14:textId="77777777" w:rsidR="00770330" w:rsidRDefault="00770330" w:rsidP="00234632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476CE485" w14:textId="445EF322" w:rsidR="003F1A14" w:rsidRPr="003F1A14" w:rsidRDefault="00770330" w:rsidP="00770330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Una combinación de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divulgación, experiencia turística y actividad </w:t>
      </w:r>
      <w:r w:rsidR="003C788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cultural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Pr="0077033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que integrará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distintos servicios y espacios especializados.</w:t>
      </w:r>
    </w:p>
    <w:p w14:paraId="29D8DFA6" w14:textId="77777777" w:rsidR="00770330" w:rsidRDefault="00770330" w:rsidP="00770330">
      <w:pPr>
        <w:autoSpaceDE w:val="0"/>
        <w:autoSpaceDN w:val="0"/>
        <w:adjustRightInd w:val="0"/>
        <w:spacing w:after="0" w:line="300" w:lineRule="exact"/>
        <w:rPr>
          <w:rFonts w:ascii="SanukTF-Medium" w:hAnsi="SanukTF-Medium" w:cstheme="minorHAnsi"/>
          <w:b/>
          <w:color w:val="003366"/>
          <w:sz w:val="26"/>
          <w:szCs w:val="26"/>
        </w:rPr>
      </w:pPr>
    </w:p>
    <w:p w14:paraId="132D5681" w14:textId="4B064088" w:rsidR="0083781B" w:rsidRDefault="0083781B" w:rsidP="0083781B">
      <w:pPr>
        <w:autoSpaceDE w:val="0"/>
        <w:autoSpaceDN w:val="0"/>
        <w:adjustRightInd w:val="0"/>
        <w:spacing w:line="300" w:lineRule="exact"/>
        <w:rPr>
          <w:rFonts w:ascii="SanukTF-Medium" w:hAnsi="SanukTF-Medium" w:cstheme="minorHAnsi"/>
          <w:b/>
          <w:color w:val="003366"/>
          <w:sz w:val="26"/>
          <w:szCs w:val="26"/>
        </w:rPr>
      </w:pPr>
      <w:r>
        <w:rPr>
          <w:rFonts w:ascii="SanukTF-Medium" w:hAnsi="SanukTF-Medium" w:cstheme="minorHAnsi"/>
          <w:b/>
          <w:color w:val="003366"/>
          <w:sz w:val="26"/>
          <w:szCs w:val="26"/>
        </w:rPr>
        <w:t xml:space="preserve">Recorrido </w:t>
      </w:r>
      <w:r w:rsidR="005B106A" w:rsidRPr="00466377">
        <w:rPr>
          <w:rFonts w:ascii="SanukTF-Medium" w:hAnsi="SanukTF-Medium" w:cstheme="minorHAnsi"/>
          <w:b/>
          <w:color w:val="003366"/>
          <w:sz w:val="26"/>
          <w:szCs w:val="26"/>
        </w:rPr>
        <w:t>inmersivo</w:t>
      </w:r>
    </w:p>
    <w:p w14:paraId="0D6456F4" w14:textId="3F4971CA" w:rsidR="00770330" w:rsidRDefault="00770330" w:rsidP="00E86072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proyecto contempla la rehabilitación y adaptación de la antigua bodega </w:t>
      </w:r>
      <w:r w:rsidR="00B610E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Antion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albergar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un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recorrido expositivo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organizado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en distintas </w:t>
      </w:r>
      <w:r w:rsidR="003F1A14" w:rsidRPr="007D3DD3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plantas temáticas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Cada una de ellas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permitirá al visitante recorrer el universo del vino desde sus orígenes hasta su relación con la gastronomía y la cultura contemporánea.</w:t>
      </w:r>
    </w:p>
    <w:p w14:paraId="27358D4D" w14:textId="3DBE7720" w:rsidR="003F1A14" w:rsidRDefault="00770330" w:rsidP="00E86072">
      <w:pPr>
        <w:tabs>
          <w:tab w:val="num" w:pos="36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la </w:t>
      </w:r>
      <w:r w:rsidRPr="0077033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planta baja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estará ubicada el área </w:t>
      </w:r>
      <w:r w:rsidRPr="0077033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 recepción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</w:t>
      </w:r>
      <w:r w:rsidRPr="0077033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que funcionará también como centro de información enoturística de la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comarca, un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espacio inmersivo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zona para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talleres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5D4B20" w:rsidRP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</w:t>
      </w:r>
      <w:r w:rsidR="005D4B2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p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rimera planta</w:t>
      </w:r>
      <w:r w:rsidR="005D4B2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5D4B20" w:rsidRP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se dedicará a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los orígenes legendarios del vino, el paisaje vitivinícola y la viticultura en Rioja Alavesa, con contenidos dedicados a la vendimia y los primeros procesos de elaboración.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En la </w:t>
      </w:r>
      <w:r w:rsidR="005D4B20" w:rsidRPr="005D4B2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s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egunda planta</w:t>
      </w:r>
      <w:r w:rsidR="005D4B2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5D4B20" w:rsidRP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se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expondrán las</w:t>
      </w:r>
      <w:r w:rsidR="005D4B20" w:rsidRP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variedades de uva y 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expansión del vino en el mundo, con explicación de procesos como la fermentación alcohólica, el descubado o el prensado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; i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ncluye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también,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un espacio inmersivo en la sala de barricas con proyección envolvente.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La </w:t>
      </w:r>
      <w:r w:rsidR="005D4B20" w:rsidRPr="005D4B2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tercera planta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versará sobre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el clima alavés, el suelo de la viña, la historia del vino en Rioja Alavesa y las fases de crianza, trasiego y fermentación maloláctica.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</w:t>
      </w:r>
      <w:r w:rsid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en </w:t>
      </w:r>
      <w:r w:rsidR="005D4B2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</w:t>
      </w:r>
      <w:r w:rsidR="005D4B20" w:rsidRPr="005D4B2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c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uarta planta</w:t>
      </w:r>
      <w:r w:rsid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la relación entre </w:t>
      </w:r>
      <w:r w:rsidR="003F1A14" w:rsidRPr="00A24E3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vino y gastronomía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con una gran mesa interactiva que permitirá explorar maridajes, tendencias y procesos a través de proyecciones y pantallas táctiles.</w:t>
      </w:r>
    </w:p>
    <w:p w14:paraId="4CCA7287" w14:textId="77777777" w:rsidR="005D4B20" w:rsidRDefault="005D4B20" w:rsidP="005D4B20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3E9D60DF" w14:textId="77777777" w:rsidR="0083781B" w:rsidRPr="003F1A14" w:rsidRDefault="0083781B" w:rsidP="0083781B">
      <w:pPr>
        <w:autoSpaceDE w:val="0"/>
        <w:autoSpaceDN w:val="0"/>
        <w:adjustRightInd w:val="0"/>
        <w:spacing w:line="300" w:lineRule="exact"/>
        <w:rPr>
          <w:rFonts w:ascii="SanukTF-Medium" w:hAnsi="SanukTF-Medium" w:cstheme="minorHAnsi"/>
          <w:b/>
          <w:color w:val="003366"/>
          <w:sz w:val="26"/>
          <w:szCs w:val="26"/>
        </w:rPr>
      </w:pPr>
      <w:r w:rsidRPr="003F1A14">
        <w:rPr>
          <w:rFonts w:ascii="SanukTF-Medium" w:hAnsi="SanukTF-Medium" w:cstheme="minorHAnsi"/>
          <w:b/>
          <w:color w:val="003366"/>
          <w:sz w:val="26"/>
          <w:szCs w:val="26"/>
        </w:rPr>
        <w:t>Experiencias, catas y presencia de bodegas</w:t>
      </w:r>
    </w:p>
    <w:p w14:paraId="0A7857A9" w14:textId="7F9F23AD" w:rsidR="0083781B" w:rsidRPr="00E86072" w:rsidRDefault="005D4B20" w:rsidP="00E86072">
      <w:pPr>
        <w:tabs>
          <w:tab w:val="num" w:pos="36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centro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incorporará también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catas inmersivas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un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showroom para bodegas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donde exponer sus vinos y un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mapa interactivo de las bodegas de Rioja Alavesa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que permitirá conocer su ubicación, historia y productos.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culminará en un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winebar </w:t>
      </w:r>
      <w:r w:rsidR="003F1A14" w:rsidRPr="00D75EE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y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una tienda especializada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donde estarán </w:t>
      </w:r>
      <w:r w:rsidR="003F1A14" w:rsidRPr="00D75EE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presentes los vinos de las bodegas de la </w:t>
      </w:r>
      <w:r w:rsidR="0083781B" w:rsidRPr="00D75EE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zona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reforzando el vínculo directo entre el visitante y el tejido productivo local.</w:t>
      </w:r>
    </w:p>
    <w:p w14:paraId="28786301" w14:textId="4604EC48" w:rsidR="003F1A14" w:rsidRDefault="003F1A14" w:rsidP="00E86072">
      <w:pPr>
        <w:tabs>
          <w:tab w:val="num" w:pos="720"/>
        </w:tabs>
        <w:autoSpaceDE w:val="0"/>
        <w:autoSpaceDN w:val="0"/>
        <w:adjustRightInd w:val="0"/>
        <w:spacing w:before="240"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Los espacios exteriores también tendrán un papel destacado dentro del conjunto, con propuestas orientadas a la interpretación del territorio</w:t>
      </w:r>
      <w:r w:rsidR="003C788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como 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un </w:t>
      </w:r>
      <w:r w:rsidR="0083781B" w:rsidRPr="0083781B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</w:t>
      </w:r>
      <w:r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irador interpretativo</w:t>
      </w:r>
      <w:r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D75EE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para la lectura del paisaje vitivinícola</w:t>
      </w:r>
      <w:r w:rsidR="003C788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</w:t>
      </w:r>
      <w:r w:rsid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áreas de </w:t>
      </w:r>
      <w:r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aparcamiento y servicios exteriores</w:t>
      </w:r>
      <w:r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para visitantes.</w:t>
      </w:r>
    </w:p>
    <w:p w14:paraId="6288E621" w14:textId="77777777" w:rsidR="0083781B" w:rsidRDefault="0083781B" w:rsidP="0083781B">
      <w:pPr>
        <w:tabs>
          <w:tab w:val="num" w:pos="720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606E1F47" w14:textId="7CE2C3F8" w:rsidR="00A319A7" w:rsidRDefault="00A319A7" w:rsidP="00A319A7">
      <w:pPr>
        <w:autoSpaceDE w:val="0"/>
        <w:autoSpaceDN w:val="0"/>
        <w:adjustRightInd w:val="0"/>
        <w:spacing w:line="300" w:lineRule="exact"/>
        <w:rPr>
          <w:rFonts w:ascii="SanukTF-Medium" w:eastAsia="Calibri" w:hAnsi="SanukTF-Medium" w:cstheme="minorHAnsi"/>
          <w:b/>
          <w:color w:val="003366"/>
          <w:sz w:val="26"/>
          <w:szCs w:val="26"/>
        </w:rPr>
      </w:pPr>
      <w:r>
        <w:rPr>
          <w:rFonts w:ascii="SanukTF-Medium" w:hAnsi="SanukTF-Medium" w:cstheme="minorHAnsi"/>
          <w:b/>
          <w:color w:val="003366"/>
          <w:sz w:val="26"/>
          <w:szCs w:val="26"/>
        </w:rPr>
        <w:t>P</w:t>
      </w:r>
      <w:r w:rsidRPr="00A319A7">
        <w:rPr>
          <w:rFonts w:ascii="SanukTF-Medium" w:hAnsi="SanukTF-Medium" w:cstheme="minorHAnsi"/>
          <w:b/>
          <w:color w:val="003366"/>
          <w:sz w:val="26"/>
          <w:szCs w:val="26"/>
        </w:rPr>
        <w:t>olo de atracción cultural, turístico y económico</w:t>
      </w:r>
      <w:r w:rsidRPr="00A319A7">
        <w:rPr>
          <w:rFonts w:ascii="SanukTF-Medium" w:eastAsia="Calibri" w:hAnsi="SanukTF-Medium" w:cstheme="minorHAnsi"/>
          <w:b/>
          <w:color w:val="003366"/>
          <w:sz w:val="26"/>
          <w:szCs w:val="26"/>
        </w:rPr>
        <w:t xml:space="preserve"> </w:t>
      </w:r>
    </w:p>
    <w:p w14:paraId="128F3F4C" w14:textId="72651075" w:rsidR="00E21DFA" w:rsidRDefault="0083781B" w:rsidP="001D6BF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proyecto nace con </w:t>
      </w:r>
      <w:r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vocación de convertirse en un nuevo </w:t>
      </w:r>
      <w:r w:rsidRPr="0083781B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polo de atracción cultural, turístico y económico para Rioja Alavesa</w:t>
      </w:r>
      <w:r w:rsidRPr="0083781B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 reforzando la proyección internacional de su cultura del vino.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Los estudios de mercado estiman que, en un horizonte de diez años, el nuevo espacio podría alcanzar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145.000 visitantes anuales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generar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8,8 millones de euros de ingresos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propiciar la </w:t>
      </w:r>
      <w:r w:rsidR="003F1A14" w:rsidRPr="003F1A14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creación de más de 45 empleos directos</w:t>
      </w:r>
      <w:r w:rsidR="003F1A14" w:rsidRPr="003F1A14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</w:p>
    <w:sectPr w:rsidR="00E21DFA" w:rsidSect="00A33E63">
      <w:headerReference w:type="default" r:id="rId8"/>
      <w:footerReference w:type="default" r:id="rId9"/>
      <w:pgSz w:w="11906" w:h="16838"/>
      <w:pgMar w:top="1418" w:right="1133" w:bottom="851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0491" w14:textId="77777777" w:rsidR="009B0B4C" w:rsidRDefault="009B0B4C">
      <w:r>
        <w:separator/>
      </w:r>
    </w:p>
  </w:endnote>
  <w:endnote w:type="continuationSeparator" w:id="0">
    <w:p w14:paraId="48C20D77" w14:textId="77777777" w:rsidR="009B0B4C" w:rsidRDefault="009B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Bold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256242098" name="Imagen 256242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0E13" w14:textId="77777777" w:rsidR="009B0B4C" w:rsidRDefault="009B0B4C">
      <w:r>
        <w:separator/>
      </w:r>
    </w:p>
  </w:footnote>
  <w:footnote w:type="continuationSeparator" w:id="0">
    <w:p w14:paraId="1B7011AE" w14:textId="77777777" w:rsidR="009B0B4C" w:rsidRDefault="009B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1107CB49">
          <wp:simplePos x="0" y="0"/>
          <wp:positionH relativeFrom="margin">
            <wp:posOffset>4365625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2458861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F4AB8"/>
    <w:multiLevelType w:val="multilevel"/>
    <w:tmpl w:val="610C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C6A47"/>
    <w:multiLevelType w:val="multilevel"/>
    <w:tmpl w:val="EFE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7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067D04"/>
    <w:multiLevelType w:val="multilevel"/>
    <w:tmpl w:val="BB8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A132B"/>
    <w:multiLevelType w:val="multilevel"/>
    <w:tmpl w:val="1DF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5"/>
  </w:num>
  <w:num w:numId="2" w16cid:durableId="1242448931">
    <w:abstractNumId w:val="15"/>
  </w:num>
  <w:num w:numId="3" w16cid:durableId="1297419837">
    <w:abstractNumId w:val="30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20"/>
  </w:num>
  <w:num w:numId="6" w16cid:durableId="1201167523">
    <w:abstractNumId w:val="36"/>
  </w:num>
  <w:num w:numId="7" w16cid:durableId="763459839">
    <w:abstractNumId w:val="1"/>
  </w:num>
  <w:num w:numId="8" w16cid:durableId="1324090106">
    <w:abstractNumId w:val="28"/>
  </w:num>
  <w:num w:numId="9" w16cid:durableId="95369816">
    <w:abstractNumId w:val="26"/>
  </w:num>
  <w:num w:numId="10" w16cid:durableId="1964919375">
    <w:abstractNumId w:val="44"/>
  </w:num>
  <w:num w:numId="11" w16cid:durableId="2032489553">
    <w:abstractNumId w:val="46"/>
  </w:num>
  <w:num w:numId="12" w16cid:durableId="1791823060">
    <w:abstractNumId w:val="21"/>
  </w:num>
  <w:num w:numId="13" w16cid:durableId="1399403171">
    <w:abstractNumId w:val="38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9"/>
  </w:num>
  <w:num w:numId="17" w16cid:durableId="1053038906">
    <w:abstractNumId w:val="4"/>
  </w:num>
  <w:num w:numId="18" w16cid:durableId="230040812">
    <w:abstractNumId w:val="45"/>
  </w:num>
  <w:num w:numId="19" w16cid:durableId="446124878">
    <w:abstractNumId w:val="37"/>
  </w:num>
  <w:num w:numId="20" w16cid:durableId="1401177231">
    <w:abstractNumId w:val="42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22"/>
  </w:num>
  <w:num w:numId="24" w16cid:durableId="378093771">
    <w:abstractNumId w:val="40"/>
  </w:num>
  <w:num w:numId="25" w16cid:durableId="1540433519">
    <w:abstractNumId w:val="32"/>
  </w:num>
  <w:num w:numId="26" w16cid:durableId="388723352">
    <w:abstractNumId w:val="31"/>
  </w:num>
  <w:num w:numId="27" w16cid:durableId="335234620">
    <w:abstractNumId w:val="29"/>
  </w:num>
  <w:num w:numId="28" w16cid:durableId="2081780349">
    <w:abstractNumId w:val="17"/>
  </w:num>
  <w:num w:numId="29" w16cid:durableId="1476332726">
    <w:abstractNumId w:val="33"/>
  </w:num>
  <w:num w:numId="30" w16cid:durableId="175653154">
    <w:abstractNumId w:val="2"/>
  </w:num>
  <w:num w:numId="31" w16cid:durableId="175315328">
    <w:abstractNumId w:val="43"/>
  </w:num>
  <w:num w:numId="32" w16cid:durableId="1559782179">
    <w:abstractNumId w:val="5"/>
  </w:num>
  <w:num w:numId="33" w16cid:durableId="1155146585">
    <w:abstractNumId w:val="16"/>
  </w:num>
  <w:num w:numId="34" w16cid:durableId="205259151">
    <w:abstractNumId w:val="19"/>
  </w:num>
  <w:num w:numId="35" w16cid:durableId="249045426">
    <w:abstractNumId w:val="35"/>
  </w:num>
  <w:num w:numId="36" w16cid:durableId="1243219160">
    <w:abstractNumId w:val="18"/>
  </w:num>
  <w:num w:numId="37" w16cid:durableId="886645517">
    <w:abstractNumId w:val="24"/>
  </w:num>
  <w:num w:numId="38" w16cid:durableId="1142574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7"/>
  </w:num>
  <w:num w:numId="40" w16cid:durableId="1822425508">
    <w:abstractNumId w:val="7"/>
  </w:num>
  <w:num w:numId="41" w16cid:durableId="2083598319">
    <w:abstractNumId w:val="11"/>
  </w:num>
  <w:num w:numId="42" w16cid:durableId="1282683456">
    <w:abstractNumId w:val="12"/>
  </w:num>
  <w:num w:numId="43" w16cid:durableId="1312321065">
    <w:abstractNumId w:val="25"/>
  </w:num>
  <w:num w:numId="44" w16cid:durableId="2109227760">
    <w:abstractNumId w:val="9"/>
  </w:num>
  <w:num w:numId="45" w16cid:durableId="1461412879">
    <w:abstractNumId w:val="13"/>
  </w:num>
  <w:num w:numId="46" w16cid:durableId="1987270742">
    <w:abstractNumId w:val="23"/>
  </w:num>
  <w:num w:numId="47" w16cid:durableId="1925457874">
    <w:abstractNumId w:val="10"/>
  </w:num>
  <w:num w:numId="48" w16cid:durableId="127288987">
    <w:abstractNumId w:val="34"/>
  </w:num>
  <w:num w:numId="49" w16cid:durableId="19436804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0FDB"/>
    <w:rsid w:val="00092388"/>
    <w:rsid w:val="000962BF"/>
    <w:rsid w:val="000A02C2"/>
    <w:rsid w:val="000A26E1"/>
    <w:rsid w:val="000A3EF1"/>
    <w:rsid w:val="000B19E6"/>
    <w:rsid w:val="000B24FA"/>
    <w:rsid w:val="000B3348"/>
    <w:rsid w:val="000B5F57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4632"/>
    <w:rsid w:val="002412C7"/>
    <w:rsid w:val="00241D4D"/>
    <w:rsid w:val="002479D1"/>
    <w:rsid w:val="002522C9"/>
    <w:rsid w:val="00256536"/>
    <w:rsid w:val="00256A8C"/>
    <w:rsid w:val="00257750"/>
    <w:rsid w:val="00262E75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C7884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139"/>
    <w:rsid w:val="003E4AD9"/>
    <w:rsid w:val="003E5BF2"/>
    <w:rsid w:val="003F11B0"/>
    <w:rsid w:val="003F1A14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6377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1ECA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06A"/>
    <w:rsid w:val="005B1175"/>
    <w:rsid w:val="005B41A7"/>
    <w:rsid w:val="005B6D7E"/>
    <w:rsid w:val="005C6E8B"/>
    <w:rsid w:val="005D3FE8"/>
    <w:rsid w:val="005D4B20"/>
    <w:rsid w:val="005D4F33"/>
    <w:rsid w:val="005D5A1B"/>
    <w:rsid w:val="005E47F2"/>
    <w:rsid w:val="005E4A14"/>
    <w:rsid w:val="005F1530"/>
    <w:rsid w:val="005F63B9"/>
    <w:rsid w:val="00600E2C"/>
    <w:rsid w:val="00601186"/>
    <w:rsid w:val="00604141"/>
    <w:rsid w:val="006104FC"/>
    <w:rsid w:val="0061157F"/>
    <w:rsid w:val="00613651"/>
    <w:rsid w:val="006173CC"/>
    <w:rsid w:val="00625E95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313A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0330"/>
    <w:rsid w:val="0077420C"/>
    <w:rsid w:val="00775E29"/>
    <w:rsid w:val="00780EE9"/>
    <w:rsid w:val="0078190E"/>
    <w:rsid w:val="0078262E"/>
    <w:rsid w:val="0078433F"/>
    <w:rsid w:val="007903CC"/>
    <w:rsid w:val="00790CF2"/>
    <w:rsid w:val="00795CC1"/>
    <w:rsid w:val="0079725F"/>
    <w:rsid w:val="007977D0"/>
    <w:rsid w:val="00797D02"/>
    <w:rsid w:val="007A1E17"/>
    <w:rsid w:val="007A2DD5"/>
    <w:rsid w:val="007B2C72"/>
    <w:rsid w:val="007C1ECA"/>
    <w:rsid w:val="007C44EF"/>
    <w:rsid w:val="007C4F85"/>
    <w:rsid w:val="007C6D0C"/>
    <w:rsid w:val="007D3DD3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04E3"/>
    <w:rsid w:val="00825641"/>
    <w:rsid w:val="0082703B"/>
    <w:rsid w:val="00830342"/>
    <w:rsid w:val="0083591B"/>
    <w:rsid w:val="008378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2FA7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0B4C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4E3C"/>
    <w:rsid w:val="00A26BC5"/>
    <w:rsid w:val="00A319A7"/>
    <w:rsid w:val="00A3390B"/>
    <w:rsid w:val="00A33E63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10C"/>
    <w:rsid w:val="00AC3F25"/>
    <w:rsid w:val="00AC4F92"/>
    <w:rsid w:val="00AC7A32"/>
    <w:rsid w:val="00AD641E"/>
    <w:rsid w:val="00AD7359"/>
    <w:rsid w:val="00AE0227"/>
    <w:rsid w:val="00AE305B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5F76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0EA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CF7302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9A5"/>
    <w:rsid w:val="00D57DA6"/>
    <w:rsid w:val="00D645A9"/>
    <w:rsid w:val="00D67092"/>
    <w:rsid w:val="00D671D9"/>
    <w:rsid w:val="00D74F74"/>
    <w:rsid w:val="00D75EE4"/>
    <w:rsid w:val="00D7648B"/>
    <w:rsid w:val="00D76F6B"/>
    <w:rsid w:val="00D8044B"/>
    <w:rsid w:val="00D82B7C"/>
    <w:rsid w:val="00D8626F"/>
    <w:rsid w:val="00D87FEB"/>
    <w:rsid w:val="00D91242"/>
    <w:rsid w:val="00DA0C54"/>
    <w:rsid w:val="00DA0DFB"/>
    <w:rsid w:val="00DA2459"/>
    <w:rsid w:val="00DA3C69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1DFA"/>
    <w:rsid w:val="00E22C71"/>
    <w:rsid w:val="00E235CB"/>
    <w:rsid w:val="00E30A8E"/>
    <w:rsid w:val="00E310A9"/>
    <w:rsid w:val="00E3179B"/>
    <w:rsid w:val="00E34CC7"/>
    <w:rsid w:val="00E360F2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3DD"/>
    <w:rsid w:val="00E73DB6"/>
    <w:rsid w:val="00E77AF6"/>
    <w:rsid w:val="00E81C0F"/>
    <w:rsid w:val="00E8225B"/>
    <w:rsid w:val="00E86072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2732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5D68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254</TotalTime>
  <Pages>2</Pages>
  <Words>795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19</cp:revision>
  <cp:lastPrinted>2020-07-03T08:04:00Z</cp:lastPrinted>
  <dcterms:created xsi:type="dcterms:W3CDTF">2026-03-13T09:11:00Z</dcterms:created>
  <dcterms:modified xsi:type="dcterms:W3CDTF">2026-05-28T13:18:00Z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